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b w:val="1"/>
          <w:bCs w:val="1"/>
          <w:outline w:val="0"/>
          <w:color w:val="808080"/>
          <w:sz w:val="28"/>
          <w:szCs w:val="28"/>
          <w:u w:color="808080"/>
          <w14:textFill>
            <w14:solidFill>
              <w14:srgbClr w14:val="808080"/>
            </w14:solidFill>
          </w14:textFill>
        </w:rPr>
      </w:pPr>
      <w:bookmarkStart w:name="_Hlk109151226" w:id="0"/>
      <w:r>
        <w:rPr>
          <w:b w:val="1"/>
          <w:bCs w:val="1"/>
          <w:outline w:val="0"/>
          <w:color w:val="808080"/>
          <w:sz w:val="28"/>
          <w:szCs w:val="2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Evangelisch-methodistische Kirche </w:t>
      </w:r>
    </w:p>
    <w:p>
      <w:pPr>
        <w:pStyle w:val="Normal.0"/>
        <w:spacing w:after="0" w:line="240" w:lineRule="auto"/>
      </w:pPr>
      <w:r>
        <w:rPr>
          <w:b w:val="1"/>
          <w:bCs w:val="1"/>
          <w:outline w:val="0"/>
          <w:color w:val="808080"/>
          <w:sz w:val="28"/>
          <w:szCs w:val="2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Ver</w:t>
      </w:r>
      <w:r>
        <w:rPr>
          <w:b w:val="1"/>
          <w:bCs w:val="1"/>
          <w:outline w:val="0"/>
          <w:color w:val="808080"/>
          <w:sz w:val="28"/>
          <w:szCs w:val="2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b w:val="1"/>
          <w:bCs w:val="1"/>
          <w:outline w:val="0"/>
          <w:color w:val="808080"/>
          <w:sz w:val="28"/>
          <w:szCs w:val="2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nderungsprozess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b w:val="1"/>
          <w:bCs w:val="1"/>
          <w:sz w:val="28"/>
          <w:szCs w:val="28"/>
          <w:rtl w:val="0"/>
          <w:lang w:val="de-DE"/>
        </w:rPr>
        <w:t>Handlungsfeld: Inhalt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Report aus dem ersten Open Hearing </w:t>
      </w:r>
    </w:p>
    <w:p>
      <w:pPr>
        <w:pStyle w:val="Normal.0"/>
        <w:spacing w:after="0" w:line="240" w:lineRule="auto"/>
      </w:pPr>
    </w:p>
    <w:p>
      <w:pPr>
        <w:pStyle w:val="Normal.0"/>
        <w:tabs>
          <w:tab w:val="left" w:pos="1985"/>
        </w:tabs>
        <w:spacing w:after="0" w:line="240" w:lineRule="auto"/>
      </w:pPr>
      <w:r>
        <w:rPr>
          <w:rtl w:val="0"/>
          <w:lang w:val="de-DE"/>
        </w:rPr>
        <w:t>Datum:</w:t>
        <w:tab/>
        <w:t>24.10. 2022 19:00 Uhr</w:t>
      </w:r>
    </w:p>
    <w:p>
      <w:pPr>
        <w:pStyle w:val="Normal.0"/>
        <w:tabs>
          <w:tab w:val="left" w:pos="1985"/>
        </w:tabs>
        <w:spacing w:after="0" w:line="240" w:lineRule="auto"/>
      </w:pPr>
      <w:r>
        <mc:AlternateContent>
          <mc:Choice Requires="wpg">
            <w:drawing xmlns:a="http://schemas.openxmlformats.org/drawingml/2006/main"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line">
                  <wp:posOffset>-1743710</wp:posOffset>
                </wp:positionV>
                <wp:extent cx="2025650" cy="1084581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afik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084581"/>
                          <a:chOff x="0" y="0"/>
                          <a:chExt cx="2025650" cy="1084580"/>
                        </a:xfrm>
                      </wpg:grpSpPr>
                      <wps:wsp>
                        <wps:cNvPr id="1073741825" name="Rechteck"/>
                        <wps:cNvSpPr/>
                        <wps:spPr>
                          <a:xfrm>
                            <a:off x="0" y="0"/>
                            <a:ext cx="2025650" cy="10845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0845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2.4pt;margin-top:-137.3pt;width:159.5pt;height:85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025650,1084580">
                <w10:wrap type="through" side="bothSides" anchorx="text"/>
                <v:rect id="_x0000_s1027" style="position:absolute;left:0;top:0;width:2025650;height:1084580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25650;height:1084580;">
                  <v:imagedata r:id="rId4" o:title="image1.png"/>
                </v:shape>
              </v:group>
            </w:pict>
          </mc:Fallback>
        </mc:AlternateContent>
      </w:r>
      <w:r>
        <w:rPr>
          <w:rtl w:val="0"/>
          <w:lang w:val="de-DE"/>
        </w:rPr>
        <w:t>Ort:</w:t>
        <w:tab/>
        <w:t>Zoom</w:t>
      </w:r>
      <w:bookmarkEnd w:id="0"/>
    </w:p>
    <w:p>
      <w:pPr>
        <w:pStyle w:val="Normal.0"/>
        <w:tabs>
          <w:tab w:val="left" w:pos="1985"/>
        </w:tabs>
        <w:spacing w:after="0" w:line="240" w:lineRule="auto"/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Name des Handlungsfelds:</w:t>
      </w:r>
      <w:r>
        <w:rPr>
          <w:sz w:val="24"/>
          <w:szCs w:val="24"/>
          <w:rtl w:val="0"/>
          <w:lang w:val="de-DE"/>
        </w:rPr>
        <w:t xml:space="preserve"> Inhalt 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Leitungsperson/ Pate:</w:t>
      </w:r>
      <w:r>
        <w:rPr>
          <w:sz w:val="24"/>
          <w:szCs w:val="24"/>
          <w:rtl w:val="0"/>
          <w:lang w:val="de-DE"/>
        </w:rPr>
        <w:t xml:space="preserve"> Moritz Mosebach/ Janina Schm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ckle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Anzahl der Teilnehmenden:</w:t>
      </w:r>
      <w:r>
        <w:rPr>
          <w:sz w:val="24"/>
          <w:szCs w:val="24"/>
          <w:rtl w:val="0"/>
          <w:lang w:val="de-DE"/>
        </w:rPr>
        <w:t xml:space="preserve"> 111/ 109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Drei neue Erkenntnisse in Bezug auf unser Thema: </w:t>
      </w: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Um wirkliche Teilhabe zu erm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glichen und einen Drive in der Kirche zu erzeugen, darf nicht nur so getan werden, als ob Mitsprache erw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nscht ist. Das gilt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alle Handlungsfelder.</w:t>
      </w: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gibt eine Sehnsucht nach einer gemeinsamen Erz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hlung.</w:t>
      </w: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Gemeinschaft und Beziehung sind nur ein Teilaspekt methodistischer Identit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Drei Themenfelder, die in unserer Diskussion am wichtigsten waren:</w:t>
      </w:r>
    </w:p>
    <w:p>
      <w:pPr>
        <w:pStyle w:val="Normal.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Gemeinschaftsbegriff in seinen vielen Dimensionen</w:t>
      </w: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Verh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ltnis von Top/Down zu Bottom/Up im gesamten Ver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nderungsprozess</w:t>
      </w:r>
    </w:p>
    <w:p>
      <w:pPr>
        <w:pStyle w:val="Normal.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Welche Elemente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rfen in einer gemeinsamen Erz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hlung nicht fehlen?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Konkrete Arbeitsauftr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ge aus den R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ckmeldungen: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 befinden uns mit unserem Handlungsfeld auf einem guten Weg und konnten Vertrauen schaffen, Teilhabe erm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glichen und zum Mitdenken motivieren. Die Gedanken aus dem Hearing sollen nun eingearbeitet und klar erkennbar verwertet werden.</w:t>
      </w:r>
    </w:p>
    <w:p>
      <w:pPr>
        <w:pStyle w:val="Normal.0"/>
      </w:pPr>
      <w:r>
        <w:rPr>
          <w:sz w:val="24"/>
          <w:szCs w:val="24"/>
          <w:rtl w:val="0"/>
          <w:lang w:val="de-DE"/>
        </w:rPr>
        <w:t>Wir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hlen uns beauftragt, den gesamten Prozess kritisch und reflektierend zu begleiten und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hlen uns in der Rolle auch wohl. Die 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chsten Monate sollen dann zunehmend konkret werden, dabei gilt es eine Balance dazwischen zu finden, einerseits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glichst viele mitzunehmen und andererseits ein klar erkennbares Profil herauszuarbeiten. Diese Aufgabe ist herausfordernd und wird zu Konflikten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hren, denen wir uns stellen wollen.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fficinaSansITCStd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OfficinaSansITCStd Book" w:cs="Arial Unicode MS" w:hAnsi="OfficinaSansITCStd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